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71" w:rsidRPr="00EB5628" w:rsidRDefault="00296CAC" w:rsidP="001E5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28">
        <w:rPr>
          <w:rFonts w:ascii="Times New Roman" w:hAnsi="Times New Roman" w:cs="Times New Roman"/>
          <w:b/>
          <w:sz w:val="24"/>
          <w:szCs w:val="24"/>
        </w:rPr>
        <w:t>Карта</w:t>
      </w:r>
      <w:bookmarkStart w:id="0" w:name="_GoBack"/>
      <w:bookmarkEnd w:id="0"/>
      <w:r w:rsidR="00EB5628" w:rsidRPr="00EB5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8FB" w:rsidRPr="00EB5628">
        <w:rPr>
          <w:rFonts w:ascii="Times New Roman" w:hAnsi="Times New Roman" w:cs="Times New Roman"/>
          <w:b/>
          <w:sz w:val="24"/>
          <w:szCs w:val="24"/>
        </w:rPr>
        <w:t>оценки развивающей предмет</w:t>
      </w:r>
      <w:r w:rsidR="001E5271" w:rsidRPr="00EB5628">
        <w:rPr>
          <w:rFonts w:ascii="Times New Roman" w:hAnsi="Times New Roman" w:cs="Times New Roman"/>
          <w:b/>
          <w:sz w:val="24"/>
          <w:szCs w:val="24"/>
        </w:rPr>
        <w:t>но-пространственной среды</w:t>
      </w:r>
    </w:p>
    <w:p w:rsidR="001E5271" w:rsidRPr="001E5271" w:rsidRDefault="00EB5628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2.3pt;margin-top:20.1pt;width:286.5pt;height:0;z-index:251664384" o:connectortype="straight"/>
        </w:pict>
      </w:r>
      <w:r w:rsidR="001E5271"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уппа:     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/>
      </w:tblPr>
      <w:tblGrid>
        <w:gridCol w:w="636"/>
        <w:gridCol w:w="9123"/>
        <w:gridCol w:w="1733"/>
        <w:gridCol w:w="1723"/>
        <w:gridCol w:w="10"/>
        <w:gridCol w:w="1733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озможно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  <w:proofErr w:type="gramEnd"/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Обеспечена доступность к материалам-компаньонам (краски – баночки для воды – </w:t>
            </w:r>
            <w:proofErr w:type="spellStart"/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вода-кисточки</w:t>
            </w:r>
            <w:proofErr w:type="spellEnd"/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бумага и т.д.)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683951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9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1" o:spid="_x0000_s1026" style="position:absolute;left:0;text-align:left;margin-left:1.8pt;margin-top:19.65pt;width:33pt;height:23.2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</w:pict>
      </w:r>
      <w:r w:rsidR="00AE1B29"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683951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 w:rsidRPr="006839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3" o:spid="_x0000_s1028" style="position:absolute;left:0;text-align:left;margin-left:1.8pt;margin-top:32.8pt;width:33pt;height:23.2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</w:pic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доступности, безопасности – 50 – 59 баллов</w:t>
      </w:r>
      <w:r w:rsidR="00AE1B29"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683951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 w:rsidRPr="006839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oundrect id="Скругленный прямоугольник 2" o:spid="_x0000_s1027" style="position:absolute;left:0;text-align:left;margin-left:1.8pt;margin-top:33.8pt;width:33pt;height:23.2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</w:pic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 доступности, безопасности </w:t>
      </w:r>
      <w:r w:rsidR="00AE1B29">
        <w:rPr>
          <w:rFonts w:ascii="Times New Roman" w:hAnsi="Times New Roman" w:cs="Times New Roman"/>
          <w:sz w:val="24"/>
          <w:szCs w:val="24"/>
        </w:rPr>
        <w:t>–40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доступности, безопасности – 39 и ниже;</w:t>
      </w: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BE"/>
    <w:rsid w:val="0018733B"/>
    <w:rsid w:val="001E5271"/>
    <w:rsid w:val="00296CAC"/>
    <w:rsid w:val="00303BBE"/>
    <w:rsid w:val="004645FA"/>
    <w:rsid w:val="005566B3"/>
    <w:rsid w:val="00567388"/>
    <w:rsid w:val="00683951"/>
    <w:rsid w:val="00693F8F"/>
    <w:rsid w:val="006A59B8"/>
    <w:rsid w:val="00806489"/>
    <w:rsid w:val="0086506F"/>
    <w:rsid w:val="00997279"/>
    <w:rsid w:val="00A328FB"/>
    <w:rsid w:val="00AE1B29"/>
    <w:rsid w:val="00EB23E4"/>
    <w:rsid w:val="00EB5628"/>
    <w:rsid w:val="00FA1D6F"/>
    <w:rsid w:val="00FB4AA7"/>
    <w:rsid w:val="00FE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Windows User</cp:lastModifiedBy>
  <cp:revision>8</cp:revision>
  <dcterms:created xsi:type="dcterms:W3CDTF">2022-02-07T18:45:00Z</dcterms:created>
  <dcterms:modified xsi:type="dcterms:W3CDTF">2023-10-26T09:29:00Z</dcterms:modified>
</cp:coreProperties>
</file>